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87" w:rsidRDefault="00DA2687" w:rsidP="00D75DEF">
      <w:r>
        <w:t>V zmysle zákona č. 448/ 2008 o sociálnych službách a o zmene a doplnení zákona č. 455/ 1991 Z. z. o živnostenskom podnikaní / živnostenský zákon/</w:t>
      </w:r>
    </w:p>
    <w:p w:rsidR="00DA2687" w:rsidRDefault="00DA2687" w:rsidP="00DA2687">
      <w:pPr>
        <w:jc w:val="center"/>
      </w:pPr>
      <w:r>
        <w:t>v znení neskorších predpisov zverejňujeme ekonomicky oprávnené náklady / EON/</w:t>
      </w:r>
    </w:p>
    <w:p w:rsidR="0093711A" w:rsidRDefault="00DA2687" w:rsidP="00DA2687">
      <w:pPr>
        <w:jc w:val="center"/>
      </w:pPr>
      <w:r>
        <w:t>za poskytované sociálne služby v roku 20</w:t>
      </w:r>
      <w:r w:rsidR="000C1DBC">
        <w:t>20</w:t>
      </w:r>
      <w:r>
        <w:t xml:space="preserve"> v Domove dôchodcov Milosrdného samaritána  Močenok</w:t>
      </w:r>
      <w:r w:rsidR="00322C49">
        <w:t xml:space="preserve"> </w:t>
      </w:r>
    </w:p>
    <w:p w:rsidR="00DA2687" w:rsidRDefault="00DA2687" w:rsidP="00DA2687">
      <w:pPr>
        <w:spacing w:after="0" w:line="240" w:lineRule="auto"/>
      </w:pPr>
    </w:p>
    <w:tbl>
      <w:tblPr>
        <w:tblStyle w:val="Mriekatabuky"/>
        <w:tblpPr w:leftFromText="141" w:rightFromText="141" w:vertAnchor="text" w:horzAnchor="margin" w:tblpY="-11"/>
        <w:tblW w:w="14729" w:type="dxa"/>
        <w:tblLook w:val="04A0"/>
      </w:tblPr>
      <w:tblGrid>
        <w:gridCol w:w="513"/>
        <w:gridCol w:w="10564"/>
        <w:gridCol w:w="3652"/>
      </w:tblGrid>
      <w:tr w:rsidR="00515639" w:rsidRPr="00977CE5" w:rsidTr="00515639">
        <w:trPr>
          <w:trHeight w:val="558"/>
        </w:trPr>
        <w:tc>
          <w:tcPr>
            <w:tcW w:w="513" w:type="dxa"/>
          </w:tcPr>
          <w:p w:rsidR="00515639" w:rsidRDefault="00515639" w:rsidP="00DA2687">
            <w:pPr>
              <w:spacing w:after="0" w:line="240" w:lineRule="auto"/>
            </w:pPr>
          </w:p>
        </w:tc>
        <w:tc>
          <w:tcPr>
            <w:tcW w:w="10564" w:type="dxa"/>
            <w:vAlign w:val="center"/>
          </w:tcPr>
          <w:p w:rsidR="00515639" w:rsidRDefault="00515639" w:rsidP="005156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položky / </w:t>
            </w:r>
            <w:proofErr w:type="spellStart"/>
            <w:r>
              <w:rPr>
                <w:b/>
              </w:rPr>
              <w:t>podpodložky</w:t>
            </w:r>
            <w:proofErr w:type="spellEnd"/>
          </w:p>
        </w:tc>
        <w:tc>
          <w:tcPr>
            <w:tcW w:w="3652" w:type="dxa"/>
            <w:vAlign w:val="center"/>
          </w:tcPr>
          <w:p w:rsidR="00515639" w:rsidRDefault="00515639" w:rsidP="005156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Výška EON</w:t>
            </w:r>
          </w:p>
          <w:p w:rsidR="00515639" w:rsidRDefault="00515639" w:rsidP="005156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  40 klientov DD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a.)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Mzdy, platy a ostatné osobné vyrovnania vo výške, ktorá zodpovedá výške platu a ostatných osobných vyrovnaní podľa osobitného predpisu</w:t>
            </w:r>
          </w:p>
        </w:tc>
        <w:tc>
          <w:tcPr>
            <w:tcW w:w="3652" w:type="dxa"/>
          </w:tcPr>
          <w:p w:rsidR="00DA2687" w:rsidRDefault="00865763" w:rsidP="009C7F52">
            <w:pPr>
              <w:spacing w:after="0" w:line="240" w:lineRule="auto"/>
              <w:jc w:val="center"/>
            </w:pPr>
            <w:r>
              <w:t>27</w:t>
            </w:r>
            <w:r w:rsidR="009C7F52">
              <w:t>1 269,51</w:t>
            </w:r>
          </w:p>
        </w:tc>
      </w:tr>
      <w:tr w:rsidR="00DA2687" w:rsidTr="00DA2687">
        <w:trPr>
          <w:trHeight w:val="273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b.)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Poistné na verejné zdravotné poistenie, poistné na sociálne poistenie a povinné príspevky na starobné dôchodkové sporenie platené zamestnávateľom v rozsahu určenom podľa písmena a.)</w:t>
            </w:r>
          </w:p>
        </w:tc>
        <w:tc>
          <w:tcPr>
            <w:tcW w:w="3652" w:type="dxa"/>
          </w:tcPr>
          <w:p w:rsidR="00DA2687" w:rsidRDefault="00865763" w:rsidP="009C7F52">
            <w:pPr>
              <w:spacing w:after="0" w:line="240" w:lineRule="auto"/>
              <w:jc w:val="center"/>
            </w:pPr>
            <w:r>
              <w:t>9</w:t>
            </w:r>
            <w:r w:rsidR="009C7F52">
              <w:t>3 961,98</w:t>
            </w:r>
          </w:p>
        </w:tc>
      </w:tr>
      <w:tr w:rsidR="00DA2687" w:rsidTr="00DA2687">
        <w:trPr>
          <w:trHeight w:val="273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c.)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Tuzemské cestovné náklady</w:t>
            </w:r>
          </w:p>
        </w:tc>
        <w:tc>
          <w:tcPr>
            <w:tcW w:w="3652" w:type="dxa"/>
          </w:tcPr>
          <w:p w:rsidR="00DA2687" w:rsidRDefault="000C1DBC" w:rsidP="00DA2687">
            <w:pPr>
              <w:spacing w:after="0" w:line="240" w:lineRule="auto"/>
              <w:jc w:val="center"/>
            </w:pPr>
            <w:r>
              <w:t>7,80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d.)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Výdavky na energie, vodu a komunikácie</w:t>
            </w:r>
          </w:p>
        </w:tc>
        <w:tc>
          <w:tcPr>
            <w:tcW w:w="3652" w:type="dxa"/>
          </w:tcPr>
          <w:p w:rsidR="00DA2687" w:rsidRDefault="00EC20D7" w:rsidP="00DA2687">
            <w:pPr>
              <w:spacing w:after="0" w:line="240" w:lineRule="auto"/>
              <w:jc w:val="center"/>
            </w:pPr>
            <w:r>
              <w:t>30 302,60</w:t>
            </w:r>
          </w:p>
        </w:tc>
      </w:tr>
      <w:tr w:rsidR="00DA2687" w:rsidTr="00DA2687">
        <w:trPr>
          <w:trHeight w:val="273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e.)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 xml:space="preserve">Výdavky na materiál </w:t>
            </w:r>
            <w:r w:rsidRPr="00582BB9">
              <w:rPr>
                <w:b/>
              </w:rPr>
              <w:t>okrem reprezentačného vybavenia nových interiérov</w:t>
            </w:r>
          </w:p>
        </w:tc>
        <w:tc>
          <w:tcPr>
            <w:tcW w:w="3652" w:type="dxa"/>
          </w:tcPr>
          <w:p w:rsidR="00DA2687" w:rsidRDefault="00EC20D7" w:rsidP="00865763">
            <w:pPr>
              <w:spacing w:after="0" w:line="240" w:lineRule="auto"/>
              <w:jc w:val="center"/>
            </w:pPr>
            <w:r>
              <w:t>96</w:t>
            </w:r>
            <w:r w:rsidR="00865763">
              <w:t xml:space="preserve">  6</w:t>
            </w:r>
            <w:r>
              <w:t>73,61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f.)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dopravné</w:t>
            </w:r>
          </w:p>
        </w:tc>
        <w:tc>
          <w:tcPr>
            <w:tcW w:w="3652" w:type="dxa"/>
          </w:tcPr>
          <w:p w:rsidR="00DA2687" w:rsidRDefault="00EC20D7" w:rsidP="00DA2687">
            <w:pPr>
              <w:spacing w:after="0" w:line="240" w:lineRule="auto"/>
              <w:jc w:val="center"/>
            </w:pPr>
            <w:r>
              <w:t>1 457,37</w:t>
            </w:r>
          </w:p>
        </w:tc>
      </w:tr>
      <w:tr w:rsidR="00DA2687" w:rsidTr="00DA2687">
        <w:trPr>
          <w:trHeight w:val="273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g.)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Výdavky na rutinnú údržbu a štandardnú údržbu okrem jednorazovej údržby objektov alebo ich časti a riešenia havarijných stavov</w:t>
            </w:r>
          </w:p>
        </w:tc>
        <w:tc>
          <w:tcPr>
            <w:tcW w:w="3652" w:type="dxa"/>
          </w:tcPr>
          <w:p w:rsidR="00DA2687" w:rsidRDefault="00EC20D7" w:rsidP="00DA2687">
            <w:pPr>
              <w:spacing w:after="0" w:line="240" w:lineRule="auto"/>
              <w:jc w:val="center"/>
            </w:pPr>
            <w:r>
              <w:t>8 504,25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h.)</w:t>
            </w:r>
          </w:p>
        </w:tc>
        <w:tc>
          <w:tcPr>
            <w:tcW w:w="10564" w:type="dxa"/>
          </w:tcPr>
          <w:p w:rsidR="00DA2687" w:rsidRPr="00FE6D40" w:rsidRDefault="00DA2687" w:rsidP="00DA2687">
            <w:pPr>
              <w:spacing w:after="0" w:line="240" w:lineRule="auto"/>
              <w:rPr>
                <w:b/>
              </w:rPr>
            </w:pPr>
            <w:r>
              <w:t xml:space="preserve">Nájomné za prenájom nehnuteľností alebo inej veci </w:t>
            </w:r>
            <w:r>
              <w:rPr>
                <w:b/>
              </w:rPr>
              <w:t>okrem dopravných prostriedkov a špeciálnych strojov, prístrojov, zariadení, techniky, náradia a materiálu najviac vo výške obvyklého nájomného, za aké sa v tom čase a na tom mieste prenechávajú do nájmu na dohodnutý účel veci toho istého druhu alebo porovnateľné veci</w:t>
            </w:r>
          </w:p>
        </w:tc>
        <w:tc>
          <w:tcPr>
            <w:tcW w:w="3652" w:type="dxa"/>
          </w:tcPr>
          <w:p w:rsidR="00DA2687" w:rsidRDefault="00DA2687" w:rsidP="00DA2687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i.)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Výdavky na služby</w:t>
            </w:r>
          </w:p>
        </w:tc>
        <w:tc>
          <w:tcPr>
            <w:tcW w:w="3652" w:type="dxa"/>
          </w:tcPr>
          <w:p w:rsidR="00DA2687" w:rsidRDefault="00865763" w:rsidP="00865763">
            <w:pPr>
              <w:spacing w:after="0" w:line="240" w:lineRule="auto"/>
              <w:jc w:val="center"/>
            </w:pPr>
            <w:r>
              <w:t>11 041,67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Z toho: stravovanie</w:t>
            </w:r>
          </w:p>
        </w:tc>
        <w:tc>
          <w:tcPr>
            <w:tcW w:w="3652" w:type="dxa"/>
          </w:tcPr>
          <w:p w:rsidR="00DA2687" w:rsidRDefault="00DA2687" w:rsidP="00DA2687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j.)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Výdavky na bežné transfery v rozsahu vreckového, odstupného, odchodného, náhrady príjmu pri dočasnej pracovnej neschopnosti zamestnanca</w:t>
            </w:r>
          </w:p>
        </w:tc>
        <w:tc>
          <w:tcPr>
            <w:tcW w:w="3652" w:type="dxa"/>
          </w:tcPr>
          <w:p w:rsidR="00DA2687" w:rsidRDefault="00EC20D7" w:rsidP="00EC20D7">
            <w:pPr>
              <w:spacing w:after="0" w:line="240" w:lineRule="auto"/>
              <w:jc w:val="center"/>
            </w:pPr>
            <w:r>
              <w:t>2 421,66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k.)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Odpisy hmotného majetku a nehmotného majetku podľa účtovných predpisov</w:t>
            </w:r>
          </w:p>
        </w:tc>
        <w:tc>
          <w:tcPr>
            <w:tcW w:w="3652" w:type="dxa"/>
          </w:tcPr>
          <w:p w:rsidR="00DA2687" w:rsidRDefault="00AA5987" w:rsidP="000C1DBC">
            <w:pPr>
              <w:spacing w:after="0" w:line="240" w:lineRule="auto"/>
              <w:jc w:val="center"/>
            </w:pPr>
            <w:r>
              <w:t>5 007,62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</w:p>
        </w:tc>
        <w:tc>
          <w:tcPr>
            <w:tcW w:w="10564" w:type="dxa"/>
          </w:tcPr>
          <w:p w:rsidR="00DA2687" w:rsidRPr="00FE6D40" w:rsidRDefault="00DA2687" w:rsidP="00DA2687">
            <w:pPr>
              <w:spacing w:after="0" w:line="240" w:lineRule="auto"/>
            </w:pPr>
            <w:r>
              <w:rPr>
                <w:b/>
              </w:rPr>
              <w:t xml:space="preserve">SPOLU </w:t>
            </w:r>
            <w:r>
              <w:t>/výška uhradených EON/ (a)+b)+c)+d)+e)+f)+g)+i)+j)+k))</w:t>
            </w:r>
          </w:p>
        </w:tc>
        <w:tc>
          <w:tcPr>
            <w:tcW w:w="3652" w:type="dxa"/>
          </w:tcPr>
          <w:p w:rsidR="00DA2687" w:rsidRDefault="00DA2687" w:rsidP="00A91092">
            <w:pPr>
              <w:spacing w:after="0" w:line="240" w:lineRule="auto"/>
              <w:jc w:val="center"/>
              <w:rPr>
                <w:b/>
              </w:rPr>
            </w:pPr>
          </w:p>
          <w:p w:rsidR="00865763" w:rsidRPr="00322C49" w:rsidRDefault="009C7F52" w:rsidP="00A910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520 648,07</w:t>
            </w:r>
          </w:p>
        </w:tc>
      </w:tr>
    </w:tbl>
    <w:p w:rsidR="00515639" w:rsidRDefault="00322C49" w:rsidP="00DA2687">
      <w:pPr>
        <w:spacing w:after="0" w:line="240" w:lineRule="auto"/>
      </w:pPr>
      <w:r w:rsidRPr="00322C49">
        <w:rPr>
          <w:b/>
        </w:rPr>
        <w:t xml:space="preserve"> </w:t>
      </w:r>
    </w:p>
    <w:p w:rsidR="00515639" w:rsidRDefault="00515639" w:rsidP="00DA2687">
      <w:pPr>
        <w:spacing w:after="0" w:line="240" w:lineRule="auto"/>
      </w:pPr>
    </w:p>
    <w:p w:rsidR="006C2721" w:rsidRDefault="006C2721" w:rsidP="00515639">
      <w:pPr>
        <w:spacing w:after="0" w:line="240" w:lineRule="auto"/>
        <w:jc w:val="center"/>
        <w:rPr>
          <w:b/>
          <w:sz w:val="32"/>
          <w:szCs w:val="32"/>
        </w:rPr>
      </w:pPr>
    </w:p>
    <w:p w:rsidR="00515639" w:rsidRP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  <w:r w:rsidRPr="00515639">
        <w:rPr>
          <w:b/>
          <w:sz w:val="32"/>
          <w:szCs w:val="32"/>
        </w:rPr>
        <w:lastRenderedPageBreak/>
        <w:t>Ekonomicky oprávnené náklady / EON / za rok 20</w:t>
      </w:r>
      <w:r w:rsidR="000C1DBC">
        <w:rPr>
          <w:b/>
          <w:sz w:val="32"/>
          <w:szCs w:val="32"/>
        </w:rPr>
        <w:t>20</w:t>
      </w:r>
    </w:p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515639">
        <w:rPr>
          <w:b/>
          <w:sz w:val="32"/>
          <w:szCs w:val="32"/>
        </w:rPr>
        <w:t>a Domov dôchodcov Milosrdn</w:t>
      </w:r>
      <w:r w:rsidR="00322C49">
        <w:rPr>
          <w:b/>
          <w:sz w:val="32"/>
          <w:szCs w:val="32"/>
        </w:rPr>
        <w:t>ého</w:t>
      </w:r>
      <w:r w:rsidRPr="00515639">
        <w:rPr>
          <w:b/>
          <w:sz w:val="32"/>
          <w:szCs w:val="32"/>
        </w:rPr>
        <w:t xml:space="preserve"> samaritán</w:t>
      </w:r>
      <w:r w:rsidR="00322C49">
        <w:rPr>
          <w:b/>
          <w:sz w:val="32"/>
          <w:szCs w:val="32"/>
        </w:rPr>
        <w:t>a</w:t>
      </w:r>
      <w:r w:rsidRPr="00515639">
        <w:rPr>
          <w:b/>
          <w:sz w:val="32"/>
          <w:szCs w:val="32"/>
        </w:rPr>
        <w:t xml:space="preserve"> Močenok</w:t>
      </w:r>
      <w:r w:rsidR="00322C49">
        <w:rPr>
          <w:b/>
          <w:sz w:val="32"/>
          <w:szCs w:val="32"/>
        </w:rPr>
        <w:t xml:space="preserve"> </w:t>
      </w:r>
    </w:p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</w:p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Mriekatabuky"/>
        <w:tblpPr w:leftFromText="141" w:rightFromText="141" w:vertAnchor="text" w:tblpY="1"/>
        <w:tblOverlap w:val="never"/>
        <w:tblW w:w="11721" w:type="dxa"/>
        <w:tblInd w:w="1152" w:type="dxa"/>
        <w:tblLook w:val="04A0"/>
      </w:tblPr>
      <w:tblGrid>
        <w:gridCol w:w="3228"/>
        <w:gridCol w:w="1461"/>
        <w:gridCol w:w="2171"/>
        <w:gridCol w:w="2172"/>
        <w:gridCol w:w="2689"/>
      </w:tblGrid>
      <w:tr w:rsidR="00515639" w:rsidRPr="00F43B13" w:rsidTr="00515639">
        <w:trPr>
          <w:trHeight w:val="987"/>
        </w:trPr>
        <w:tc>
          <w:tcPr>
            <w:tcW w:w="3228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Druh sociálnej služby</w:t>
            </w:r>
          </w:p>
        </w:tc>
        <w:tc>
          <w:tcPr>
            <w:tcW w:w="1461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Kapacita</w:t>
            </w:r>
          </w:p>
        </w:tc>
        <w:tc>
          <w:tcPr>
            <w:tcW w:w="2171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Merná jednotka</w:t>
            </w:r>
          </w:p>
        </w:tc>
        <w:tc>
          <w:tcPr>
            <w:tcW w:w="2172" w:type="dxa"/>
          </w:tcPr>
          <w:p w:rsidR="00515639" w:rsidRPr="00F43B13" w:rsidRDefault="00515639" w:rsidP="00D75DEF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EON za rok 20</w:t>
            </w:r>
            <w:r w:rsidR="00D75DEF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9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EON za mesiac</w:t>
            </w:r>
          </w:p>
        </w:tc>
      </w:tr>
      <w:tr w:rsidR="00515639" w:rsidRPr="00F43B13" w:rsidTr="00515639">
        <w:trPr>
          <w:trHeight w:val="1005"/>
        </w:trPr>
        <w:tc>
          <w:tcPr>
            <w:tcW w:w="3228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Zariadenie pre seniorov/</w:t>
            </w:r>
            <w:proofErr w:type="spellStart"/>
            <w:r>
              <w:rPr>
                <w:sz w:val="24"/>
                <w:szCs w:val="24"/>
              </w:rPr>
              <w:t>ZpS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461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71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EON na jedného prijímateľa</w:t>
            </w:r>
          </w:p>
        </w:tc>
        <w:tc>
          <w:tcPr>
            <w:tcW w:w="2172" w:type="dxa"/>
          </w:tcPr>
          <w:p w:rsidR="00515639" w:rsidRPr="00F43B13" w:rsidRDefault="009C7F52" w:rsidP="00A55C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520 648,07</w:t>
            </w:r>
            <w:r w:rsidR="00531231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689" w:type="dxa"/>
          </w:tcPr>
          <w:p w:rsidR="00515639" w:rsidRPr="006C2721" w:rsidRDefault="00D75DEF" w:rsidP="00A55C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721">
              <w:rPr>
                <w:b/>
                <w:sz w:val="24"/>
                <w:szCs w:val="24"/>
              </w:rPr>
              <w:t>1 084,68</w:t>
            </w:r>
            <w:r w:rsidR="00531231" w:rsidRPr="006C2721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</w:p>
    <w:p w:rsidR="00515639" w:rsidRPr="00D75DEF" w:rsidRDefault="00D75DEF" w:rsidP="00D75DEF">
      <w:pPr>
        <w:spacing w:after="0" w:line="240" w:lineRule="auto"/>
        <w:rPr>
          <w:b/>
          <w:sz w:val="24"/>
          <w:szCs w:val="24"/>
        </w:rPr>
      </w:pPr>
      <w:r w:rsidRPr="00D75DEF">
        <w:rPr>
          <w:b/>
          <w:sz w:val="24"/>
          <w:szCs w:val="24"/>
        </w:rPr>
        <w:t xml:space="preserve"> </w:t>
      </w:r>
    </w:p>
    <w:p w:rsidR="00D75DEF" w:rsidRDefault="00D75DEF" w:rsidP="00515639">
      <w:pPr>
        <w:spacing w:after="0" w:line="240" w:lineRule="auto"/>
        <w:rPr>
          <w:sz w:val="24"/>
          <w:szCs w:val="24"/>
        </w:rPr>
      </w:pPr>
    </w:p>
    <w:p w:rsidR="00D75DEF" w:rsidRPr="00D75DEF" w:rsidRDefault="00D75DEF" w:rsidP="00515639">
      <w:pPr>
        <w:spacing w:after="0" w:line="240" w:lineRule="auto"/>
        <w:rPr>
          <w:b/>
          <w:sz w:val="24"/>
          <w:szCs w:val="24"/>
        </w:rPr>
      </w:pPr>
      <w:r w:rsidRPr="00D75DEF">
        <w:rPr>
          <w:b/>
          <w:sz w:val="24"/>
          <w:szCs w:val="24"/>
        </w:rPr>
        <w:t xml:space="preserve">Vzorec výpočtu EON na jedného klienta/mesiac: </w:t>
      </w:r>
    </w:p>
    <w:p w:rsidR="00D75DEF" w:rsidRDefault="00D75DEF" w:rsidP="00515639">
      <w:pPr>
        <w:spacing w:after="0" w:line="240" w:lineRule="auto"/>
        <w:rPr>
          <w:sz w:val="24"/>
          <w:szCs w:val="24"/>
        </w:rPr>
      </w:pPr>
    </w:p>
    <w:p w:rsidR="00515639" w:rsidRPr="006C2721" w:rsidRDefault="00D75DEF" w:rsidP="00515639">
      <w:pPr>
        <w:spacing w:after="0" w:line="240" w:lineRule="auto"/>
        <w:rPr>
          <w:b/>
          <w:sz w:val="24"/>
          <w:szCs w:val="24"/>
        </w:rPr>
      </w:pPr>
      <w:r w:rsidRPr="006C2721">
        <w:rPr>
          <w:b/>
          <w:sz w:val="24"/>
          <w:szCs w:val="24"/>
        </w:rPr>
        <w:t xml:space="preserve">EON </w:t>
      </w:r>
      <w:r w:rsidR="00515639" w:rsidRPr="006C2721">
        <w:rPr>
          <w:b/>
          <w:sz w:val="24"/>
          <w:szCs w:val="24"/>
        </w:rPr>
        <w:t>za sociálnu službu za rok : 12 mesiacov : počet prijímateľov</w:t>
      </w:r>
    </w:p>
    <w:p w:rsidR="00515639" w:rsidRPr="006C2721" w:rsidRDefault="00D75DEF" w:rsidP="00515639">
      <w:pPr>
        <w:spacing w:after="0" w:line="240" w:lineRule="auto"/>
        <w:rPr>
          <w:b/>
          <w:sz w:val="24"/>
          <w:szCs w:val="24"/>
        </w:rPr>
      </w:pPr>
      <w:r w:rsidRPr="006C2721">
        <w:rPr>
          <w:b/>
          <w:sz w:val="24"/>
          <w:szCs w:val="24"/>
        </w:rPr>
        <w:t>520 648,07</w:t>
      </w:r>
      <w:r w:rsidR="006C2721" w:rsidRPr="006C2721">
        <w:rPr>
          <w:b/>
          <w:sz w:val="24"/>
          <w:szCs w:val="24"/>
        </w:rPr>
        <w:t xml:space="preserve"> Eur</w:t>
      </w:r>
      <w:r w:rsidRPr="006C2721">
        <w:rPr>
          <w:b/>
          <w:sz w:val="24"/>
          <w:szCs w:val="24"/>
        </w:rPr>
        <w:t xml:space="preserve"> : 12</w:t>
      </w:r>
      <w:r w:rsidR="006C2721" w:rsidRPr="006C2721">
        <w:rPr>
          <w:b/>
          <w:sz w:val="24"/>
          <w:szCs w:val="24"/>
        </w:rPr>
        <w:t xml:space="preserve"> mesiacov</w:t>
      </w:r>
      <w:r w:rsidRPr="006C2721">
        <w:rPr>
          <w:b/>
          <w:sz w:val="24"/>
          <w:szCs w:val="24"/>
        </w:rPr>
        <w:t xml:space="preserve"> : 40</w:t>
      </w:r>
      <w:r w:rsidR="006C2721" w:rsidRPr="006C2721">
        <w:rPr>
          <w:b/>
          <w:sz w:val="24"/>
          <w:szCs w:val="24"/>
        </w:rPr>
        <w:t xml:space="preserve"> klientov</w:t>
      </w:r>
      <w:r w:rsidRPr="006C2721">
        <w:rPr>
          <w:b/>
          <w:sz w:val="24"/>
          <w:szCs w:val="24"/>
        </w:rPr>
        <w:t xml:space="preserve"> = 1 084,68</w:t>
      </w:r>
      <w:r w:rsidR="006C2721">
        <w:rPr>
          <w:b/>
          <w:sz w:val="24"/>
          <w:szCs w:val="24"/>
        </w:rPr>
        <w:t xml:space="preserve"> Eur</w:t>
      </w:r>
    </w:p>
    <w:p w:rsidR="00322C49" w:rsidRPr="006C2721" w:rsidRDefault="00322C49" w:rsidP="00515639">
      <w:pPr>
        <w:spacing w:after="0" w:line="240" w:lineRule="auto"/>
        <w:rPr>
          <w:b/>
          <w:sz w:val="24"/>
          <w:szCs w:val="24"/>
        </w:rPr>
      </w:pPr>
    </w:p>
    <w:p w:rsidR="006C2721" w:rsidRDefault="006C2721" w:rsidP="00515639">
      <w:pPr>
        <w:spacing w:after="0" w:line="240" w:lineRule="auto"/>
        <w:rPr>
          <w:sz w:val="24"/>
          <w:szCs w:val="24"/>
        </w:rPr>
      </w:pPr>
    </w:p>
    <w:p w:rsidR="006C2721" w:rsidRDefault="006C2721" w:rsidP="00515639">
      <w:pPr>
        <w:spacing w:after="0" w:line="240" w:lineRule="auto"/>
        <w:rPr>
          <w:sz w:val="24"/>
          <w:szCs w:val="24"/>
        </w:rPr>
      </w:pPr>
    </w:p>
    <w:p w:rsidR="00322C49" w:rsidRDefault="00322C49" w:rsidP="005156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Vypracovala: Ing. Horváthová Erika</w:t>
      </w:r>
    </w:p>
    <w:p w:rsidR="00D75DEF" w:rsidRDefault="00D75DEF" w:rsidP="005156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Štatutárny zástupca: Mgr. </w:t>
      </w:r>
      <w:proofErr w:type="spellStart"/>
      <w:r>
        <w:rPr>
          <w:sz w:val="24"/>
          <w:szCs w:val="24"/>
        </w:rPr>
        <w:t>Lovásová</w:t>
      </w:r>
      <w:proofErr w:type="spellEnd"/>
      <w:r>
        <w:rPr>
          <w:sz w:val="24"/>
          <w:szCs w:val="24"/>
        </w:rPr>
        <w:t xml:space="preserve"> Edita</w:t>
      </w:r>
    </w:p>
    <w:p w:rsidR="00322C49" w:rsidRDefault="00322C49" w:rsidP="00515639">
      <w:pPr>
        <w:spacing w:after="0" w:line="240" w:lineRule="auto"/>
        <w:rPr>
          <w:sz w:val="24"/>
          <w:szCs w:val="24"/>
        </w:rPr>
      </w:pPr>
    </w:p>
    <w:p w:rsidR="00322C49" w:rsidRDefault="00322C49" w:rsidP="00515639">
      <w:pPr>
        <w:spacing w:after="0" w:line="240" w:lineRule="auto"/>
        <w:rPr>
          <w:sz w:val="24"/>
          <w:szCs w:val="24"/>
        </w:rPr>
      </w:pPr>
    </w:p>
    <w:p w:rsidR="00515639" w:rsidRPr="00515639" w:rsidRDefault="00515639" w:rsidP="005156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Močenku dňa </w:t>
      </w:r>
      <w:r w:rsidR="00322C49">
        <w:rPr>
          <w:sz w:val="24"/>
          <w:szCs w:val="24"/>
        </w:rPr>
        <w:t>: 2</w:t>
      </w:r>
      <w:r w:rsidR="009C7F52">
        <w:rPr>
          <w:sz w:val="24"/>
          <w:szCs w:val="24"/>
        </w:rPr>
        <w:t>9</w:t>
      </w:r>
      <w:r w:rsidR="00322C49">
        <w:rPr>
          <w:sz w:val="24"/>
          <w:szCs w:val="24"/>
        </w:rPr>
        <w:t>.</w:t>
      </w:r>
      <w:r w:rsidR="00A55CFC">
        <w:rPr>
          <w:sz w:val="24"/>
          <w:szCs w:val="24"/>
        </w:rPr>
        <w:t>1</w:t>
      </w:r>
      <w:r w:rsidR="00322C49">
        <w:rPr>
          <w:sz w:val="24"/>
          <w:szCs w:val="24"/>
        </w:rPr>
        <w:t>.20</w:t>
      </w:r>
      <w:r w:rsidR="009C7F52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253">
        <w:rPr>
          <w:sz w:val="24"/>
          <w:szCs w:val="24"/>
        </w:rPr>
        <w:tab/>
      </w:r>
      <w:r>
        <w:rPr>
          <w:sz w:val="24"/>
          <w:szCs w:val="24"/>
        </w:rPr>
        <w:t xml:space="preserve">Schválila: Mgr. Edita </w:t>
      </w:r>
      <w:proofErr w:type="spellStart"/>
      <w:r>
        <w:rPr>
          <w:sz w:val="24"/>
          <w:szCs w:val="24"/>
        </w:rPr>
        <w:t>Lovásová</w:t>
      </w:r>
      <w:proofErr w:type="spellEnd"/>
    </w:p>
    <w:sectPr w:rsidR="00515639" w:rsidRPr="00515639" w:rsidSect="00DA2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687"/>
    <w:rsid w:val="00084B49"/>
    <w:rsid w:val="000C1DBC"/>
    <w:rsid w:val="00140764"/>
    <w:rsid w:val="001E7769"/>
    <w:rsid w:val="00322C49"/>
    <w:rsid w:val="00406B51"/>
    <w:rsid w:val="004C7882"/>
    <w:rsid w:val="00515639"/>
    <w:rsid w:val="00531231"/>
    <w:rsid w:val="005D4CB4"/>
    <w:rsid w:val="006C2721"/>
    <w:rsid w:val="00865763"/>
    <w:rsid w:val="00911B57"/>
    <w:rsid w:val="0093711A"/>
    <w:rsid w:val="009C7F52"/>
    <w:rsid w:val="00A55CFC"/>
    <w:rsid w:val="00A91092"/>
    <w:rsid w:val="00AA5987"/>
    <w:rsid w:val="00B510D3"/>
    <w:rsid w:val="00CF7722"/>
    <w:rsid w:val="00D05FA0"/>
    <w:rsid w:val="00D75DEF"/>
    <w:rsid w:val="00DA2687"/>
    <w:rsid w:val="00DC3253"/>
    <w:rsid w:val="00EC20D7"/>
    <w:rsid w:val="00E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68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700C-28CF-4BF4-85D1-FB1C491E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2019-02-26T08:03:00Z</cp:lastPrinted>
  <dcterms:created xsi:type="dcterms:W3CDTF">2019-02-26T08:10:00Z</dcterms:created>
  <dcterms:modified xsi:type="dcterms:W3CDTF">2021-01-29T11:23:00Z</dcterms:modified>
</cp:coreProperties>
</file>